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НАРЕДБА № 30 от 10.11.2006 г. за установяването на правила и процедури по отношение на въвеждането на експлоатационни ограничения, свързани с шума в гражданските летища за обществено ползване в Република България</w:t>
      </w:r>
      <w:r w:rsidRPr="00ED441C">
        <w:rPr>
          <w:b/>
          <w:bCs/>
          <w:sz w:val="36"/>
          <w:szCs w:val="36"/>
          <w:lang w:val="bg-BG"/>
        </w:rPr>
        <w:br/>
        <w:t>(Загл. изм. - ДВ, бр. 55 от 2018 г.)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lang w:val="bg-BG"/>
        </w:rPr>
        <w:t>Издадена от министъра на транспорта, обн., ДВ, бр. 95 от 24.11.2006 г., изм. и доп., бр. 55 от 3.07.2018 г.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I</w:t>
      </w:r>
      <w:r w:rsidRPr="00ED441C">
        <w:rPr>
          <w:b/>
          <w:bCs/>
          <w:sz w:val="36"/>
          <w:szCs w:val="36"/>
          <w:lang w:val="bg-BG"/>
        </w:rPr>
        <w:br/>
        <w:t>Общи разпоредби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1.</w:t>
      </w:r>
      <w:r w:rsidRPr="00ED441C">
        <w:rPr>
          <w:lang w:val="bg-BG"/>
        </w:rPr>
        <w:t xml:space="preserve"> (1) (Нова – ДВ, бр. 55 от 2018 г.) Тази наредба се отнася за летищата за обществено ползване под 50 000 движения на </w:t>
      </w:r>
      <w:r w:rsidRPr="00ED441C">
        <w:rPr>
          <w:lang w:val="bg-BG"/>
        </w:rPr>
        <w:t>граждански въздухоплавателни средства за една календарна година.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(2) (Предишен текст на чл. 1 - ДВ, бр. 55 от 2018 г.) С тази наредба се определят: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(изм. – ДВ, бр. 55 от 2018 г.) експлоатационни ограничения за намаляване вредното въздействие на шума;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2.</w:t>
      </w:r>
      <w:r w:rsidRPr="00ED441C">
        <w:rPr>
          <w:lang w:val="bg-BG"/>
        </w:rPr>
        <w:t xml:space="preserve"> (изм. – ДВ, бр. 55 от 2018 г.) експлоатационните ограничения за защита от шума, съобразени с изискванията за равен достъп до пазара на въздушните превозвачи;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3. мерките за насърчаване развитието на летищната инфраструктура в съответствие с хармоничното ра</w:t>
      </w:r>
      <w:r w:rsidRPr="00ED441C">
        <w:rPr>
          <w:lang w:val="bg-BG"/>
        </w:rPr>
        <w:t>звитие на околната среда;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4. мерките за намаляване на негативното шумово въздействие от въздухоплавателни средства на летища със специфични шумови проблеми;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5. оценката на шумовото въздействие на дадено летище с оглед предприемане на мерки за намаляването </w:t>
      </w:r>
      <w:r w:rsidRPr="00ED441C">
        <w:rPr>
          <w:lang w:val="bg-BG"/>
        </w:rPr>
        <w:t>му;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6. (отм. – ДВ, бр. 55 от 2018 г.).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(3) (Нова – ДВ, бр. 55 от 2018 г.) За летища за обществено ползване с над 50 000 движения на граждански въздухоплавателни средства за една календарна година се прилага Регламент (ЕС) № 598/2014 от 16 април 2014 г. за </w:t>
      </w:r>
      <w:r w:rsidRPr="00ED441C">
        <w:rPr>
          <w:lang w:val="bg-BG"/>
        </w:rPr>
        <w:t>определяне на правила и процедури за въвеждането на свързани с шума експлоатационни ограничения на летищата в Съюза в рамките на балансирания подход и за отмяна на Директива 2002/30/ЕО (ОВ, L 173, 12/06/2014, стр. 65 – 78).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II</w:t>
      </w:r>
      <w:r w:rsidRPr="00ED441C">
        <w:rPr>
          <w:b/>
          <w:bCs/>
          <w:sz w:val="36"/>
          <w:szCs w:val="36"/>
          <w:lang w:val="bg-BG"/>
        </w:rPr>
        <w:br/>
        <w:t>Компетентни органи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</w:t>
      </w:r>
      <w:r w:rsidRPr="00ED441C">
        <w:rPr>
          <w:b/>
          <w:bCs/>
          <w:lang w:val="bg-BG"/>
        </w:rPr>
        <w:t xml:space="preserve"> 2.</w:t>
      </w:r>
      <w:r w:rsidRPr="00ED441C">
        <w:rPr>
          <w:lang w:val="bg-BG"/>
        </w:rPr>
        <w:t xml:space="preserve"> (1) Министърът на транспорта чрез Главна дирекция "Гражданска въздухоплавателна администрация" (ГД "ГВА") осъществява контрол и координация върху: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въздухоплавателните средства относно шума, излъчван от тях в околната среда;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2. (изм. – ДВ, бр. 55 от </w:t>
      </w:r>
      <w:r w:rsidRPr="00ED441C">
        <w:rPr>
          <w:lang w:val="bg-BG"/>
        </w:rPr>
        <w:t>2018 г.) летищата за обществено ползване относно шума, излъчван в околната среда в резултат на тяхната дейност.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(2) (Изм. – ДВ, бр. 55 от 2018 г.) Главна дирекция "Гражданска въздухоплавателна администрация" координира действията между летищните администра</w:t>
      </w:r>
      <w:r w:rsidRPr="00ED441C">
        <w:rPr>
          <w:lang w:val="bg-BG"/>
        </w:rPr>
        <w:t xml:space="preserve">ции и Държавно </w:t>
      </w:r>
      <w:r w:rsidRPr="00ED441C">
        <w:rPr>
          <w:lang w:val="bg-BG"/>
        </w:rPr>
        <w:lastRenderedPageBreak/>
        <w:t>предприятие "Ръководство на въздушното движение" (ДП "РВД") относно наложените експлоатационни ограничения за защита от шума в гражданските летища за обществено ползване.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(3) (Нова – ДВ, бр. 55 от 2018 г.) Компетентен орган по Регламент (ЕС) № 598/2014 на Европейския парламент и на Съвета от 16 април 2014 г. за определяне на правила и процедури за въвеждането на свързани с шума експлоатационни ограничения на летищата в Съюз</w:t>
      </w:r>
      <w:r w:rsidRPr="00ED441C">
        <w:rPr>
          <w:lang w:val="bg-BG"/>
        </w:rPr>
        <w:t>а в рамките на балансирания подход и за отмяна на Директива 2002/30/ЕО е Главна дирекция "Гражданска въздухоплавателна администрация"</w:t>
      </w:r>
      <w:bookmarkStart w:id="0" w:name="_GoBack"/>
      <w:bookmarkEnd w:id="0"/>
      <w:r w:rsidRPr="00ED441C">
        <w:rPr>
          <w:lang w:val="bg-BG"/>
        </w:rPr>
        <w:t>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(4) (Предишна ал. 3, изм. - ДВ, бр. 55 от 2018 г.) Главният директор на ГД "ГВА" със заповед въвежда експлоатационните ог</w:t>
      </w:r>
      <w:r w:rsidRPr="00ED441C">
        <w:rPr>
          <w:lang w:val="bg-BG"/>
        </w:rPr>
        <w:t>раничения, свързани с шума, в гражданските летища за обществено ползване след провеждане на консултации със заинтересованите страни.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(5) (Предишна ал. 4 - ДВ, бр. 55 от 2018 г.) Заповедта по ал. 3 подлежи на обжалване по реда на Административнопроцесуалния</w:t>
      </w:r>
      <w:r w:rsidRPr="00ED441C">
        <w:rPr>
          <w:lang w:val="bg-BG"/>
        </w:rPr>
        <w:t xml:space="preserve"> кодекс.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III</w:t>
      </w:r>
      <w:r w:rsidRPr="00ED441C">
        <w:rPr>
          <w:b/>
          <w:bCs/>
          <w:sz w:val="36"/>
          <w:szCs w:val="36"/>
          <w:lang w:val="bg-BG"/>
        </w:rPr>
        <w:br/>
        <w:t>Правила при въвеждането на експлоатационни ограничения за защита от шума на територията на летищата</w:t>
      </w:r>
      <w:r w:rsidRPr="00ED441C">
        <w:rPr>
          <w:b/>
          <w:bCs/>
          <w:sz w:val="36"/>
          <w:szCs w:val="36"/>
          <w:lang w:val="bg-BG"/>
        </w:rPr>
        <w:br/>
        <w:t>(Загл. изм. - ДВ, бр. 55 от 2018 г.)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3.</w:t>
      </w:r>
      <w:r w:rsidRPr="00ED441C">
        <w:rPr>
          <w:lang w:val="bg-BG"/>
        </w:rPr>
        <w:t xml:space="preserve"> (Изм. – ДВ, бр. 55 от 2018 г.) Експлоатационните ограничения за защита от шума на територият</w:t>
      </w:r>
      <w:r w:rsidRPr="00ED441C">
        <w:rPr>
          <w:lang w:val="bg-BG"/>
        </w:rPr>
        <w:t>а на гражданските летища за обществено ползване се разработват въз основа на: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балансиран подход като мярка за намаляване на шума на летищата, който включва и икономически стимули;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2. отчитане на възможните ползи, загуби и разходи от прилаганите мерки, с</w:t>
      </w:r>
      <w:r w:rsidRPr="00ED441C">
        <w:rPr>
          <w:lang w:val="bg-BG"/>
        </w:rPr>
        <w:t>ъобразени със специфичните характеристики за дадено летище;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3. прилагане на изискванията, използвани при сертифициране на въздухоплавателно средство, определени в Приложение № 16 на Конвенцията за международно гражданско въздухоплаване (ДВ, бр. 55 от 1994 </w:t>
      </w:r>
      <w:r w:rsidRPr="00ED441C">
        <w:rPr>
          <w:lang w:val="bg-BG"/>
        </w:rPr>
        <w:t>г.).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4.</w:t>
      </w:r>
      <w:r w:rsidRPr="00ED441C">
        <w:rPr>
          <w:lang w:val="bg-BG"/>
        </w:rPr>
        <w:t xml:space="preserve"> (1) (Изм. – ДВ, бр. 55 от 2018 г.) Експлоатационни ограничения за защита от шума на територията на летищата се разработват в съответствие с техническите, експлоатационните, икономическите и екологическите характеристики за съответното летище.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</w:t>
      </w:r>
      <w:r w:rsidRPr="00ED441C">
        <w:rPr>
          <w:lang w:val="bg-BG"/>
        </w:rPr>
        <w:t>2) (Изм. – ДВ, бр. 55 от 2018 г.) Ако за дадено летище е изготвена оценка на въздействие върху околната среда (ОВОС), тази оценка може да служи при налагане на експлоатационни ограничения за защита от шума на територията на летището.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IV</w:t>
      </w:r>
      <w:r w:rsidRPr="00ED441C">
        <w:rPr>
          <w:b/>
          <w:bCs/>
          <w:sz w:val="36"/>
          <w:szCs w:val="36"/>
          <w:lang w:val="bg-BG"/>
        </w:rPr>
        <w:br/>
      </w:r>
      <w:r w:rsidRPr="00ED441C">
        <w:rPr>
          <w:b/>
          <w:bCs/>
          <w:sz w:val="36"/>
          <w:szCs w:val="36"/>
          <w:lang w:val="bg-BG"/>
        </w:rPr>
        <w:t>Правила за въвеждане на експлоатационни ограничения на гранично съобразени въздухоплавателни средства</w:t>
      </w:r>
      <w:r w:rsidRPr="00ED441C">
        <w:rPr>
          <w:b/>
          <w:bCs/>
          <w:sz w:val="36"/>
          <w:szCs w:val="36"/>
          <w:lang w:val="bg-BG"/>
        </w:rPr>
        <w:br/>
        <w:t>(Загл. изм. - ДВ, бр. 55 от 2018 г.)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5.</w:t>
      </w:r>
      <w:r w:rsidRPr="00ED441C">
        <w:rPr>
          <w:lang w:val="bg-BG"/>
        </w:rPr>
        <w:t xml:space="preserve"> (Изм. – ДВ, бр. 55 от 2018 г.) Когато се въвеждат експлоатационни ограничения на гранично съобразени въздухопл</w:t>
      </w:r>
      <w:r w:rsidRPr="00ED441C">
        <w:rPr>
          <w:lang w:val="bg-BG"/>
        </w:rPr>
        <w:t>авателни средства: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lastRenderedPageBreak/>
        <w:t>1. (изм. – ДВ, бр. 55 от 2018 г.) не се допуска извършване на полети от и до съответното летище с гранично съобразени въздухоплавателни средства, надвишаващи извършените за същия период на предходната година полети, 6 месеца след въвежда</w:t>
      </w:r>
      <w:r w:rsidRPr="00ED441C">
        <w:rPr>
          <w:lang w:val="bg-BG"/>
        </w:rPr>
        <w:t>не на експлоатационни ограничения за шум; и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2. (изм. – ДВ, бр. 55 от 2018 г.) една година след налагане на експлоатационни ограничения за шум от всеки въздушен превозвач може да се изиска намаляване на извършваните от него полети с гранично съобразени възд</w:t>
      </w:r>
      <w:r w:rsidRPr="00ED441C">
        <w:rPr>
          <w:lang w:val="bg-BG"/>
        </w:rPr>
        <w:t>ухоплавателни средства от и до съответното летище с не повече от 20 %.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V</w:t>
      </w:r>
      <w:r w:rsidRPr="00ED441C">
        <w:rPr>
          <w:b/>
          <w:bCs/>
          <w:sz w:val="36"/>
          <w:szCs w:val="36"/>
          <w:lang w:val="bg-BG"/>
        </w:rPr>
        <w:br/>
        <w:t>(Отм. – ДВ, бр. 55 от 2018 г.)</w:t>
      </w:r>
      <w:r w:rsidRPr="00ED441C">
        <w:rPr>
          <w:b/>
          <w:bCs/>
          <w:sz w:val="36"/>
          <w:szCs w:val="36"/>
          <w:lang w:val="bg-BG"/>
        </w:rPr>
        <w:br/>
        <w:t>Съществуващи оперативни ограничения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6.</w:t>
      </w:r>
      <w:r w:rsidRPr="00ED441C">
        <w:rPr>
          <w:lang w:val="bg-BG"/>
        </w:rPr>
        <w:t xml:space="preserve"> (Отм. – ДВ, бр. 55 от 2018 г.).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VI</w:t>
      </w:r>
      <w:r w:rsidRPr="00ED441C">
        <w:rPr>
          <w:b/>
          <w:bCs/>
          <w:sz w:val="36"/>
          <w:szCs w:val="36"/>
          <w:lang w:val="bg-BG"/>
        </w:rPr>
        <w:br/>
        <w:t>(Отм. – ДВ, бр. 55 от 2018 г.)</w:t>
      </w:r>
      <w:r w:rsidRPr="00ED441C">
        <w:rPr>
          <w:b/>
          <w:bCs/>
          <w:sz w:val="36"/>
          <w:szCs w:val="36"/>
          <w:lang w:val="bg-BG"/>
        </w:rPr>
        <w:br/>
      </w:r>
      <w:r w:rsidRPr="00ED441C">
        <w:rPr>
          <w:b/>
          <w:bCs/>
          <w:sz w:val="36"/>
          <w:szCs w:val="36"/>
          <w:lang w:val="bg-BG"/>
        </w:rPr>
        <w:t>Освобождаване от оперативни ограничения на гранично съобразени въздухоплавателни средства, регистрирани в развиващи се страни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7.</w:t>
      </w:r>
      <w:r w:rsidRPr="00ED441C">
        <w:rPr>
          <w:lang w:val="bg-BG"/>
        </w:rPr>
        <w:t xml:space="preserve"> (Отм. – ДВ, бр. 55 от 2018 г.).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VII</w:t>
      </w:r>
      <w:r w:rsidRPr="00ED441C">
        <w:rPr>
          <w:b/>
          <w:bCs/>
          <w:sz w:val="36"/>
          <w:szCs w:val="36"/>
          <w:lang w:val="bg-BG"/>
        </w:rPr>
        <w:br/>
        <w:t>Освобождаване по изключение от експлоатационни ограничения на гранично съобразен</w:t>
      </w:r>
      <w:r w:rsidRPr="00ED441C">
        <w:rPr>
          <w:b/>
          <w:bCs/>
          <w:sz w:val="36"/>
          <w:szCs w:val="36"/>
          <w:lang w:val="bg-BG"/>
        </w:rPr>
        <w:t>и въздухоплавателни средства</w:t>
      </w:r>
      <w:r w:rsidRPr="00ED441C">
        <w:rPr>
          <w:b/>
          <w:bCs/>
          <w:sz w:val="36"/>
          <w:szCs w:val="36"/>
          <w:lang w:val="bg-BG"/>
        </w:rPr>
        <w:br/>
        <w:t>(Загл. изм. - ДВ, бр. 55 от 2018 г.)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8.</w:t>
      </w:r>
      <w:r w:rsidRPr="00ED441C">
        <w:rPr>
          <w:lang w:val="bg-BG"/>
        </w:rPr>
        <w:t xml:space="preserve"> (Изм. – ДВ, бр. 55 от 2018 г.) Гранично съобразени въздухоплавателни средства могат да бъдат освободени от експлоатационни ограничения за шум по изключение в следните случаи: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за ед</w:t>
      </w:r>
      <w:r w:rsidRPr="00ED441C">
        <w:rPr>
          <w:lang w:val="bg-BG"/>
        </w:rPr>
        <w:t>инични полети поради причини, свързани с безопасността и сигурността на полета;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2. за извършване на технически прелитания.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Раздел VIII</w:t>
      </w:r>
      <w:r w:rsidRPr="00ED441C">
        <w:rPr>
          <w:b/>
          <w:bCs/>
          <w:sz w:val="36"/>
          <w:szCs w:val="36"/>
          <w:lang w:val="bg-BG"/>
        </w:rPr>
        <w:br/>
        <w:t>Предварително известяване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Чл. 9.</w:t>
      </w:r>
      <w:r w:rsidRPr="00ED441C">
        <w:rPr>
          <w:lang w:val="bg-BG"/>
        </w:rPr>
        <w:t xml:space="preserve"> (1) (Изм. – ДВ, бр. 55 от 2018 г.) Държавно предприятие "Ръководство на въздушното движе</w:t>
      </w:r>
      <w:r w:rsidRPr="00ED441C">
        <w:rPr>
          <w:lang w:val="bg-BG"/>
        </w:rPr>
        <w:t>ние" и съответната летищна администрация уведомяват заинтересованите страни за наложените експлоатационни ограничения за шум в следните срокове: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не по-късно от 6 месеца преди влизането в сила на мерките, предвидени в чл. 5, т. 1;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2. не по-късно от една </w:t>
      </w:r>
      <w:r w:rsidRPr="00ED441C">
        <w:rPr>
          <w:lang w:val="bg-BG"/>
        </w:rPr>
        <w:t>година преди влизането в сила на мерките, предвидени в чл. 5, т. 2.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lastRenderedPageBreak/>
        <w:t>(2) (В сила от 1.01.2007 г. – ДВ, бр. 95 от 2006 г., изм., бр. 55 от 2018 г.) Главна дирекция "Гражданска въздухоплавателна администрация" уведомява държавите - членки на Европейския съюз,</w:t>
      </w:r>
      <w:r w:rsidRPr="00ED441C">
        <w:rPr>
          <w:lang w:val="bg-BG"/>
        </w:rPr>
        <w:t xml:space="preserve"> и Европейската комисия за всяко ново експлоатационно ограничение по тази наредба..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ДОПЪЛНИТЕЛНА РАЗПОРЕДБА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§ 1.</w:t>
      </w:r>
      <w:r w:rsidRPr="00ED441C">
        <w:rPr>
          <w:lang w:val="bg-BG"/>
        </w:rPr>
        <w:t xml:space="preserve"> По смисъла на тази наредба: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1. (Отм. – ДВ, бр. 55 от 2018 г.).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2. "Гранично съобразено въздухоплавателно средство" са граждански дозвукови реак</w:t>
      </w:r>
      <w:r w:rsidRPr="00ED441C">
        <w:rPr>
          <w:lang w:val="bg-BG"/>
        </w:rPr>
        <w:t>тивни самолети, които са сертифицирани съгласно изискванията в том 1 "Авиационен шум", част II, глава 3 на Приложение № 16 към Конвенцията за международно гражданско въздухоплаване с обща разлика от не повече от 5EPNdB (Ефективно ниво на измервания шум в д</w:t>
      </w:r>
      <w:r w:rsidRPr="00ED441C">
        <w:rPr>
          <w:lang w:val="bg-BG"/>
        </w:rPr>
        <w:t>ецибели), където общата разлика е цифрата, изразена в EPNdB, получена чрез събиране на отделните разлики (т.е. разликите между регистрираното шумово ниво и максимално позволеното шумово ниво) във всяка една от трите указани точки за измерване на шума, какт</w:t>
      </w:r>
      <w:r w:rsidRPr="00ED441C">
        <w:rPr>
          <w:lang w:val="bg-BG"/>
        </w:rPr>
        <w:t>о е определено в том 1 "Авиационен шум", част II, глава 3 от Приложение № 16 към Конвенцията за международно гражданско въздухоплаване.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3. "Граждански дозвукови реактивни самолети" са самолети с максимална излетна маса 34 000 kg или повече или способни да </w:t>
      </w:r>
      <w:r w:rsidRPr="00ED441C">
        <w:rPr>
          <w:lang w:val="bg-BG"/>
        </w:rPr>
        <w:t>поместят повече от 19 пътнически седалки, с изключение на местата на екипажа.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4. (Изм. – ДВ, бр. 55 от 2018 г.) "Експлоатационни ограничения" означава свързано с шума действие, с което се ограничава достъпът или се намалява експлоатационният капацитет на летище, включително експлоатационни ограничения, целящи извеждането от експлоат</w:t>
      </w:r>
      <w:r w:rsidRPr="00ED441C">
        <w:rPr>
          <w:lang w:val="bg-BG"/>
        </w:rPr>
        <w:t>ация на слабо съобразените въздухоплавателни средства на конкретни летища, както и експлоатационните ограничения с частичен характер, които се прилагат например през дадени часове от денонощието или само за определени писти на летището.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5. (Изм. – ДВ, бр. </w:t>
      </w:r>
      <w:r w:rsidRPr="00ED441C">
        <w:rPr>
          <w:lang w:val="bg-BG"/>
        </w:rPr>
        <w:t>55 от 2018 г.) "Заинтересовани страни" са физически или юридически лица, засегнати или за които е вероятно да бъдат засегнати, или имащи правен интерес от въвеждането на мерки за намаляване на шума, включително експлоатационни ограничения.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6. (Изм. – ДВ, б</w:t>
      </w:r>
      <w:r w:rsidRPr="00ED441C">
        <w:rPr>
          <w:lang w:val="bg-BG"/>
        </w:rPr>
        <w:t>р. 55 от 2018 г.) "Балансиран подход" е процесът, разработен от Международната организация за гражданско въздухоплаване, при който наборът от налични мерки – намаляване на шума от въздухоплавателни средства при източника, планиране и управление на използва</w:t>
      </w:r>
      <w:r w:rsidRPr="00ED441C">
        <w:rPr>
          <w:lang w:val="bg-BG"/>
        </w:rPr>
        <w:t>нето на територията, работни процедури и експлоатационни ограничения за намаляване на шума, се вземат предвид по последователен начин с оглед справяне с проблема с шума по най-ефективен от гледна точка на разходите начин, като се съобразяват условията на в</w:t>
      </w:r>
      <w:r w:rsidRPr="00ED441C">
        <w:rPr>
          <w:lang w:val="bg-BG"/>
        </w:rPr>
        <w:t>сяко летище.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7. (Нова – ДВ, бр. 55 от 2018 г.) "Свързано с шума действие" означава всяка мярка, която оказва въздействие върху шумовата обстановка около летищата, за която се прилагат принципите на балансирания подход, включително други неоперативни действ</w:t>
      </w:r>
      <w:r w:rsidRPr="00ED441C">
        <w:rPr>
          <w:lang w:val="bg-BG"/>
        </w:rPr>
        <w:t>ия, които могат да засегнат редица хора, изложени на въздействието на шума от въздухоплавателни средства.</w:t>
      </w:r>
    </w:p>
    <w:p w:rsidR="00951D0D" w:rsidRPr="00ED441C" w:rsidRDefault="00ED441C">
      <w:pPr>
        <w:pStyle w:val="Heading3"/>
        <w:spacing w:after="321"/>
        <w:jc w:val="center"/>
        <w:rPr>
          <w:b/>
          <w:bCs/>
          <w:sz w:val="36"/>
          <w:szCs w:val="36"/>
          <w:lang w:val="bg-BG"/>
        </w:rPr>
      </w:pPr>
      <w:r w:rsidRPr="00ED441C">
        <w:rPr>
          <w:b/>
          <w:bCs/>
          <w:sz w:val="36"/>
          <w:szCs w:val="36"/>
          <w:lang w:val="bg-BG"/>
        </w:rPr>
        <w:t>ПРЕХОДНИ И ЗАКЛЮЧИТЕЛНИ РАЗПОРЕДБИ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§ 2.</w:t>
      </w:r>
      <w:r w:rsidRPr="00ED441C">
        <w:rPr>
          <w:lang w:val="bg-BG"/>
        </w:rPr>
        <w:t xml:space="preserve"> Член 9, ал. 2 влиза в сила от датата на влизане в сила на Договора за присъединяване на Република България към Европейския съюз.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b/>
          <w:bCs/>
          <w:lang w:val="bg-BG"/>
        </w:rPr>
        <w:t>§ 3.</w:t>
      </w:r>
      <w:r w:rsidRPr="00ED441C">
        <w:rPr>
          <w:lang w:val="bg-BG"/>
        </w:rPr>
        <w:t xml:space="preserve"> (Изм. – ДВ, бр. 55 от 2018 г.) Тази наредба се издава на основание чл. 16а, т. 17 във връзка с § 6 от преходните и заключ</w:t>
      </w:r>
      <w:r w:rsidRPr="00ED441C">
        <w:rPr>
          <w:lang w:val="bg-BG"/>
        </w:rPr>
        <w:t>ителните разпоредби на Закона за гражданското въздухоплаване.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noProof/>
          <w:lang w:val="bg-BG"/>
        </w:rPr>
        <w:lastRenderedPageBreak/>
        <w:drawing>
          <wp:inline distT="0" distB="0" distL="0" distR="0">
            <wp:extent cx="1266190" cy="1905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61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D0D" w:rsidRPr="00ED441C" w:rsidRDefault="00951D0D">
      <w:pPr>
        <w:spacing w:before="120"/>
        <w:ind w:firstLine="990"/>
        <w:rPr>
          <w:lang w:val="bg-BG"/>
        </w:rPr>
      </w:pP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lang w:val="bg-BG"/>
        </w:rPr>
        <w:t xml:space="preserve">НАРЕДБА 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за изменение и допълнение на Наредба № 30 от 2006 г. за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 xml:space="preserve">установяването на правила и процедури по отношение на въвеждането 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на оперативни ограничения, свързани с шума в гражданските л</w:t>
      </w:r>
      <w:r w:rsidRPr="00ED441C">
        <w:rPr>
          <w:lang w:val="bg-BG"/>
        </w:rPr>
        <w:t xml:space="preserve">етища за 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обществено ползване в Република България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(ДВ, бр. 55 от 2018 г.)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....................................................................</w:t>
      </w:r>
    </w:p>
    <w:p w:rsidR="00951D0D" w:rsidRPr="00ED441C" w:rsidRDefault="00ED441C">
      <w:pPr>
        <w:spacing w:before="120"/>
        <w:ind w:firstLine="990"/>
        <w:rPr>
          <w:lang w:val="bg-BG"/>
        </w:rPr>
      </w:pPr>
      <w:r w:rsidRPr="00ED441C">
        <w:rPr>
          <w:lang w:val="bg-BG"/>
        </w:rPr>
        <w:t>§ 9. Навсякъде в наредбата думата "оперативни" се заменя с "експлоатационни", а думата "оперативните" се заменя с "експлоатационните".</w:t>
      </w:r>
    </w:p>
    <w:p w:rsidR="00951D0D" w:rsidRPr="00ED441C" w:rsidRDefault="00ED441C">
      <w:pPr>
        <w:rPr>
          <w:lang w:val="bg-BG"/>
        </w:rPr>
      </w:pPr>
      <w:r w:rsidRPr="00ED441C">
        <w:rPr>
          <w:lang w:val="bg-BG"/>
        </w:rPr>
        <w:t>....................................................................</w:t>
      </w:r>
    </w:p>
    <w:p w:rsidR="00951D0D" w:rsidRPr="00ED441C" w:rsidRDefault="00ED441C">
      <w:pPr>
        <w:rPr>
          <w:rFonts w:ascii="Courier" w:eastAsia="Courier" w:hAnsi="Courier" w:cs="Courier"/>
          <w:sz w:val="20"/>
          <w:szCs w:val="20"/>
          <w:lang w:val="bg-BG"/>
        </w:rPr>
      </w:pPr>
      <w:r w:rsidRPr="00ED441C">
        <w:rPr>
          <w:lang w:val="bg-BG"/>
        </w:rPr>
        <w:t xml:space="preserve">                                                    </w:t>
      </w:r>
      <w:r w:rsidRPr="00ED441C">
        <w:rPr>
          <w:lang w:val="bg-BG"/>
        </w:rPr>
        <w:t xml:space="preserve">         </w:t>
      </w:r>
      <w:r w:rsidRPr="00ED441C">
        <w:rPr>
          <w:rFonts w:ascii="Courier" w:eastAsia="Courier" w:hAnsi="Courier" w:cs="Courier"/>
          <w:b/>
          <w:bCs/>
          <w:sz w:val="20"/>
          <w:szCs w:val="20"/>
          <w:lang w:val="bg-BG"/>
        </w:rPr>
        <w:t xml:space="preserve">Приложение                                                       </w:t>
      </w:r>
      <w:r w:rsidRPr="00ED441C">
        <w:rPr>
          <w:rFonts w:ascii="Courier" w:eastAsia="Courier" w:hAnsi="Courier" w:cs="Courier"/>
          <w:sz w:val="20"/>
          <w:szCs w:val="20"/>
          <w:lang w:val="bg-BG"/>
        </w:rPr>
        <w:t>към чл. 4, ал. 1                                          (Отм. – ДВ, бр. 55 от 2018 г.)</w:t>
      </w:r>
    </w:p>
    <w:sectPr w:rsidR="00951D0D" w:rsidRPr="00ED441C">
      <w:footerReference w:type="default" r:id="rId7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441C">
      <w:r>
        <w:separator/>
      </w:r>
    </w:p>
  </w:endnote>
  <w:endnote w:type="continuationSeparator" w:id="0">
    <w:p w:rsidR="00000000" w:rsidRDefault="00E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0D" w:rsidRPr="00ED441C" w:rsidRDefault="00ED441C">
    <w:pPr>
      <w:jc w:val="right"/>
      <w:rPr>
        <w:lang w:val="bg-BG"/>
      </w:rPr>
    </w:pPr>
    <w:r w:rsidRPr="00ED441C">
      <w:rPr>
        <w:rFonts w:ascii="Arial" w:eastAsia="Arial" w:hAnsi="Arial" w:cs="Arial"/>
        <w:sz w:val="20"/>
        <w:szCs w:val="20"/>
        <w:lang w:val="bg-BG"/>
      </w:rPr>
      <w:t xml:space="preserve">стр. </w:t>
    </w:r>
    <w:r w:rsidRPr="00ED441C">
      <w:rPr>
        <w:rFonts w:ascii="Arial" w:eastAsia="Arial" w:hAnsi="Arial" w:cs="Arial"/>
        <w:sz w:val="20"/>
        <w:szCs w:val="20"/>
        <w:lang w:val="bg-BG"/>
      </w:rPr>
      <w:fldChar w:fldCharType="begin"/>
    </w:r>
    <w:r w:rsidRPr="00ED441C">
      <w:rPr>
        <w:rFonts w:ascii="Arial" w:eastAsia="Arial" w:hAnsi="Arial" w:cs="Arial"/>
        <w:sz w:val="20"/>
        <w:szCs w:val="20"/>
        <w:lang w:val="bg-BG"/>
      </w:rPr>
      <w:instrText xml:space="preserve"> PAGE</w:instrText>
    </w:r>
    <w:r w:rsidRPr="00ED441C">
      <w:rPr>
        <w:rFonts w:ascii="Arial" w:eastAsia="Arial" w:hAnsi="Arial" w:cs="Arial"/>
        <w:sz w:val="20"/>
        <w:szCs w:val="20"/>
        <w:lang w:val="bg-BG"/>
      </w:rPr>
      <w:fldChar w:fldCharType="separate"/>
    </w:r>
    <w:r>
      <w:rPr>
        <w:rFonts w:ascii="Arial" w:eastAsia="Arial" w:hAnsi="Arial" w:cs="Arial"/>
        <w:noProof/>
        <w:sz w:val="20"/>
        <w:szCs w:val="20"/>
        <w:lang w:val="bg-BG"/>
      </w:rPr>
      <w:t>1</w:t>
    </w:r>
    <w:r w:rsidRPr="00ED441C">
      <w:rPr>
        <w:rFonts w:ascii="Arial" w:eastAsia="Arial" w:hAnsi="Arial" w:cs="Arial"/>
        <w:sz w:val="20"/>
        <w:szCs w:val="20"/>
        <w:lang w:val="bg-BG"/>
      </w:rPr>
      <w:fldChar w:fldCharType="end"/>
    </w:r>
    <w:r w:rsidRPr="00ED441C">
      <w:rPr>
        <w:rFonts w:ascii="Arial" w:eastAsia="Arial" w:hAnsi="Arial" w:cs="Arial"/>
        <w:sz w:val="20"/>
        <w:szCs w:val="20"/>
        <w:lang w:val="bg-BG"/>
      </w:rPr>
      <w:t xml:space="preserve"> от </w:t>
    </w:r>
    <w:r w:rsidRPr="00ED441C">
      <w:rPr>
        <w:rFonts w:ascii="Arial" w:eastAsia="Arial" w:hAnsi="Arial" w:cs="Arial"/>
        <w:sz w:val="20"/>
        <w:szCs w:val="20"/>
        <w:lang w:val="bg-BG"/>
      </w:rPr>
      <w:fldChar w:fldCharType="begin"/>
    </w:r>
    <w:r w:rsidRPr="00ED441C">
      <w:rPr>
        <w:rFonts w:ascii="Arial" w:eastAsia="Arial" w:hAnsi="Arial" w:cs="Arial"/>
        <w:sz w:val="20"/>
        <w:szCs w:val="20"/>
        <w:lang w:val="bg-BG"/>
      </w:rPr>
      <w:instrText xml:space="preserve"> NUMPAGES</w:instrText>
    </w:r>
    <w:r w:rsidRPr="00ED441C">
      <w:rPr>
        <w:rFonts w:ascii="Arial" w:eastAsia="Arial" w:hAnsi="Arial" w:cs="Arial"/>
        <w:sz w:val="20"/>
        <w:szCs w:val="20"/>
        <w:lang w:val="bg-BG"/>
      </w:rPr>
      <w:fldChar w:fldCharType="separate"/>
    </w:r>
    <w:r>
      <w:rPr>
        <w:rFonts w:ascii="Arial" w:eastAsia="Arial" w:hAnsi="Arial" w:cs="Arial"/>
        <w:noProof/>
        <w:sz w:val="20"/>
        <w:szCs w:val="20"/>
        <w:lang w:val="bg-BG"/>
      </w:rPr>
      <w:t>5</w:t>
    </w:r>
    <w:r w:rsidRPr="00ED441C">
      <w:rPr>
        <w:rFonts w:ascii="Arial" w:eastAsia="Arial" w:hAnsi="Arial" w:cs="Arial"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441C">
      <w:r>
        <w:separator/>
      </w:r>
    </w:p>
  </w:footnote>
  <w:footnote w:type="continuationSeparator" w:id="0">
    <w:p w:rsidR="00000000" w:rsidRDefault="00ED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0D"/>
    <w:rsid w:val="00951D0D"/>
    <w:rsid w:val="00E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EE6F-D55D-4877-A937-A3E5D5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</w:style>
  <w:style w:type="paragraph" w:customStyle="1" w:styleId="heading21">
    <w:name w:val="heading 21"/>
    <w:qFormat/>
  </w:style>
  <w:style w:type="paragraph" w:customStyle="1" w:styleId="heading31">
    <w:name w:val="heading 31"/>
    <w:qFormat/>
  </w:style>
  <w:style w:type="paragraph" w:customStyle="1" w:styleId="heading41">
    <w:name w:val="heading 41"/>
    <w:qFormat/>
  </w:style>
  <w:style w:type="paragraph" w:customStyle="1" w:styleId="heading51">
    <w:name w:val="heading 51"/>
    <w:qFormat/>
  </w:style>
  <w:style w:type="paragraph" w:customStyle="1" w:styleId="heading61">
    <w:name w:val="heading 61"/>
    <w:qFormat/>
  </w:style>
  <w:style w:type="paragraph" w:styleId="Header">
    <w:name w:val="header"/>
    <w:basedOn w:val="Normal"/>
    <w:link w:val="HeaderChar"/>
    <w:uiPriority w:val="99"/>
    <w:unhideWhenUsed/>
    <w:rsid w:val="00ED44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1C"/>
  </w:style>
  <w:style w:type="paragraph" w:styleId="Footer">
    <w:name w:val="footer"/>
    <w:basedOn w:val="Normal"/>
    <w:link w:val="FooterChar"/>
    <w:uiPriority w:val="99"/>
    <w:unhideWhenUsed/>
    <w:rsid w:val="00ED44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Marinov</dc:creator>
  <cp:lastModifiedBy>Milan Marinov</cp:lastModifiedBy>
  <cp:revision>2</cp:revision>
  <dcterms:created xsi:type="dcterms:W3CDTF">2021-11-30T15:49:00Z</dcterms:created>
  <dcterms:modified xsi:type="dcterms:W3CDTF">2021-11-30T15:49:00Z</dcterms:modified>
  <cp:contentStatus>Created by the \'abHTML to RTF .Net\'bb 7.4.4.30</cp:contentStatus>
</cp:coreProperties>
</file>